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6DB75" w14:textId="77777777" w:rsidR="00183C78" w:rsidRDefault="009E1835">
      <w:pPr>
        <w:rPr>
          <w:b/>
        </w:rPr>
      </w:pPr>
      <w:bookmarkStart w:id="0" w:name="_GoBack"/>
      <w:bookmarkEnd w:id="0"/>
      <w:r w:rsidRPr="009E1835">
        <w:rPr>
          <w:b/>
        </w:rPr>
        <w:t>How tools and process</w:t>
      </w:r>
      <w:r w:rsidR="00E177BD">
        <w:rPr>
          <w:b/>
        </w:rPr>
        <w:t>es</w:t>
      </w:r>
      <w:r w:rsidRPr="009E1835">
        <w:rPr>
          <w:b/>
        </w:rPr>
        <w:t xml:space="preserve"> facilitate farmer – researcher interaction in NBDC</w:t>
      </w:r>
    </w:p>
    <w:p w14:paraId="62FE0007" w14:textId="02F6DED7" w:rsidR="00452238" w:rsidRPr="00452238" w:rsidRDefault="009512A7">
      <w:r>
        <w:t>Preliminary notes,</w:t>
      </w:r>
      <w:r w:rsidR="00452238" w:rsidRPr="00452238">
        <w:t xml:space="preserve"> Fergus Sinclair</w:t>
      </w:r>
    </w:p>
    <w:p w14:paraId="4553F55E" w14:textId="77777777" w:rsidR="009E1835" w:rsidRDefault="009E1835"/>
    <w:p w14:paraId="40F8F569" w14:textId="77777777" w:rsidR="009E1835" w:rsidRDefault="009E1835">
      <w:r>
        <w:t xml:space="preserve">As part of the NBDC reflection workshop on 15-16 November 2012 (Beth Cullen, Josie Tucker, </w:t>
      </w:r>
      <w:proofErr w:type="spellStart"/>
      <w:r w:rsidR="004A0D8B">
        <w:t>Birhanu</w:t>
      </w:r>
      <w:proofErr w:type="spellEnd"/>
      <w:r w:rsidR="004A0D8B">
        <w:t xml:space="preserve"> </w:t>
      </w:r>
      <w:proofErr w:type="spellStart"/>
      <w:r w:rsidR="004A0D8B">
        <w:t>Z</w:t>
      </w:r>
      <w:r w:rsidR="004A0D8B" w:rsidRPr="004A0D8B">
        <w:t>emadim</w:t>
      </w:r>
      <w:proofErr w:type="spellEnd"/>
      <w:r w:rsidR="002E5C47">
        <w:t xml:space="preserve">, </w:t>
      </w:r>
      <w:proofErr w:type="spellStart"/>
      <w:r w:rsidR="002E5C47">
        <w:t>Kinde</w:t>
      </w:r>
      <w:proofErr w:type="spellEnd"/>
      <w:r w:rsidR="00E177BD">
        <w:t xml:space="preserve">, </w:t>
      </w:r>
      <w:proofErr w:type="spellStart"/>
      <w:r w:rsidR="00E177BD">
        <w:t>Muluget</w:t>
      </w:r>
      <w:proofErr w:type="spellEnd"/>
      <w:r w:rsidR="00E177BD">
        <w:t xml:space="preserve"> </w:t>
      </w:r>
      <w:proofErr w:type="spellStart"/>
      <w:r w:rsidR="00E177BD">
        <w:t>Lemineh</w:t>
      </w:r>
      <w:proofErr w:type="spellEnd"/>
      <w:r w:rsidR="00E177BD">
        <w:t>, Fergus Sinclair</w:t>
      </w:r>
      <w:r w:rsidR="00452238">
        <w:t xml:space="preserve">) </w:t>
      </w:r>
      <w:r>
        <w:t xml:space="preserve">and subsequent discussions with Simon Langan and </w:t>
      </w:r>
      <w:proofErr w:type="spellStart"/>
      <w:r>
        <w:t>Mulegeta</w:t>
      </w:r>
      <w:proofErr w:type="spellEnd"/>
      <w:r>
        <w:t xml:space="preserve"> </w:t>
      </w:r>
      <w:proofErr w:type="spellStart"/>
      <w:r>
        <w:t>Leminah</w:t>
      </w:r>
      <w:proofErr w:type="spellEnd"/>
      <w:r>
        <w:t xml:space="preserve"> on the </w:t>
      </w:r>
      <w:proofErr w:type="gramStart"/>
      <w:r>
        <w:t>17</w:t>
      </w:r>
      <w:r w:rsidRPr="009E1835">
        <w:rPr>
          <w:vertAlign w:val="superscript"/>
        </w:rPr>
        <w:t>th</w:t>
      </w:r>
      <w:r>
        <w:t xml:space="preserve">  November</w:t>
      </w:r>
      <w:proofErr w:type="gramEnd"/>
      <w:r>
        <w:t xml:space="preserve"> we identified utility in mapping out a flow chart that illustrates how the various tools and processes developed within the NBDC facilitate interaction amongst farmers and researchers (Figure 1).</w:t>
      </w:r>
      <w:r w:rsidR="00452238">
        <w:t xml:space="preserve"> </w:t>
      </w:r>
    </w:p>
    <w:p w14:paraId="29EB83F4" w14:textId="77777777" w:rsidR="009E1835" w:rsidRDefault="009E1835"/>
    <w:p w14:paraId="4B31F411" w14:textId="77777777" w:rsidR="009E1835" w:rsidRDefault="009E1835">
      <w:r w:rsidRPr="009E1835">
        <w:rPr>
          <w:noProof/>
        </w:rPr>
        <w:drawing>
          <wp:inline distT="0" distB="0" distL="0" distR="0" wp14:anchorId="60C53281" wp14:editId="082F6F2F">
            <wp:extent cx="5270500" cy="3952875"/>
            <wp:effectExtent l="0" t="0" r="1270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D1481" w14:textId="77777777" w:rsidR="009E1835" w:rsidRPr="00452238" w:rsidRDefault="009E1835">
      <w:pPr>
        <w:rPr>
          <w:i/>
        </w:rPr>
      </w:pPr>
      <w:r w:rsidRPr="00452238">
        <w:rPr>
          <w:i/>
        </w:rPr>
        <w:t>Figure 1. Analysis of how</w:t>
      </w:r>
      <w:r w:rsidR="00452238" w:rsidRPr="00452238">
        <w:rPr>
          <w:i/>
        </w:rPr>
        <w:t xml:space="preserve"> tools and processes facilitate farmers having access to appropriate innovation options within NBDC</w:t>
      </w:r>
      <w:r w:rsidR="00CA30CF">
        <w:rPr>
          <w:i/>
        </w:rPr>
        <w:t>. Hexagons are tools or processes (purple used primarily by researchers, green primarily by farmers). Arrows represent flows of knowledge.</w:t>
      </w:r>
      <w:r w:rsidR="00E177BD">
        <w:rPr>
          <w:i/>
        </w:rPr>
        <w:t xml:space="preserve"> Fat arrows signify that a bundle of knowledge or requirements are involved in the flow. The </w:t>
      </w:r>
      <w:proofErr w:type="gramStart"/>
      <w:r w:rsidR="00E177BD">
        <w:rPr>
          <w:i/>
        </w:rPr>
        <w:t xml:space="preserve">circles within </w:t>
      </w:r>
      <w:proofErr w:type="spellStart"/>
      <w:r w:rsidR="00E177BD">
        <w:rPr>
          <w:i/>
        </w:rPr>
        <w:t>kebeles</w:t>
      </w:r>
      <w:proofErr w:type="spellEnd"/>
      <w:r w:rsidR="00E177BD">
        <w:rPr>
          <w:i/>
        </w:rPr>
        <w:t xml:space="preserve"> represents</w:t>
      </w:r>
      <w:proofErr w:type="gramEnd"/>
      <w:r w:rsidR="00E177BD">
        <w:rPr>
          <w:i/>
        </w:rPr>
        <w:t xml:space="preserve"> the existence of different farmer typologies within each </w:t>
      </w:r>
      <w:proofErr w:type="spellStart"/>
      <w:r w:rsidR="00E177BD">
        <w:rPr>
          <w:i/>
        </w:rPr>
        <w:t>kebele</w:t>
      </w:r>
      <w:proofErr w:type="spellEnd"/>
      <w:r w:rsidR="00E177BD">
        <w:rPr>
          <w:i/>
        </w:rPr>
        <w:t xml:space="preserve"> that may differ in their requirements and in terms of which options suit.</w:t>
      </w:r>
    </w:p>
    <w:p w14:paraId="31B87B05" w14:textId="77777777" w:rsidR="00452238" w:rsidRDefault="00452238"/>
    <w:p w14:paraId="0D5446B6" w14:textId="77777777" w:rsidR="00452238" w:rsidRDefault="00452238">
      <w:r>
        <w:t>During the reflection workshop several issues emerged:</w:t>
      </w:r>
    </w:p>
    <w:p w14:paraId="75296A10" w14:textId="77777777" w:rsidR="00452238" w:rsidRDefault="00452238"/>
    <w:p w14:paraId="50D6DF9F" w14:textId="77777777" w:rsidR="00452238" w:rsidRDefault="00452238" w:rsidP="004A0D8B">
      <w:pPr>
        <w:pStyle w:val="ListParagraph"/>
        <w:numPr>
          <w:ilvl w:val="0"/>
          <w:numId w:val="1"/>
        </w:numPr>
      </w:pPr>
      <w:r>
        <w:t>Some knowledge requirements of farmers (e.g. livestock fodder requirements) were not addressed by local innovation platforms. This was partly because of issues surrounding participation of scientists</w:t>
      </w:r>
      <w:r w:rsidR="002E5C47">
        <w:t xml:space="preserve"> (researchers) in the platforms. These relate both to frequency of attendance and mode of participation. This led us to discuss </w:t>
      </w:r>
      <w:r w:rsidR="004A0D8B">
        <w:t xml:space="preserve">the need for a knowledge exchange mechanism beyond the platform to coral </w:t>
      </w:r>
      <w:r w:rsidR="004A0D8B">
        <w:lastRenderedPageBreak/>
        <w:t xml:space="preserve">appropriate knowledge required by farmers not readily available within the platform. </w:t>
      </w:r>
    </w:p>
    <w:p w14:paraId="5E4DC1AF" w14:textId="77777777" w:rsidR="004A0D8B" w:rsidRDefault="004A0D8B" w:rsidP="004A0D8B">
      <w:pPr>
        <w:pStyle w:val="ListParagraph"/>
        <w:numPr>
          <w:ilvl w:val="0"/>
          <w:numId w:val="1"/>
        </w:numPr>
      </w:pPr>
      <w:r>
        <w:t>While some tools and processes were already located within the researcher</w:t>
      </w:r>
      <w:r w:rsidR="00CA30CF">
        <w:t xml:space="preserve"> / farmer space with a clear role in facilitating generation and communication of innovations for farmers, </w:t>
      </w:r>
      <w:r w:rsidR="00BD1B31">
        <w:t xml:space="preserve">or a role was clearly envisaged (denoted </w:t>
      </w:r>
      <w:proofErr w:type="gramStart"/>
      <w:r w:rsidR="00BD1B31">
        <w:t>by ?</w:t>
      </w:r>
      <w:proofErr w:type="gramEnd"/>
      <w:r w:rsidR="00BD1B31">
        <w:t xml:space="preserve">) </w:t>
      </w:r>
      <w:r w:rsidR="00CA30CF">
        <w:t xml:space="preserve">others were not – specifically this refers to the tools along the top of the researcher space for which the content of Kr and </w:t>
      </w:r>
      <w:proofErr w:type="spellStart"/>
      <w:r w:rsidR="00CA30CF">
        <w:t>Kp</w:t>
      </w:r>
      <w:proofErr w:type="spellEnd"/>
      <w:r w:rsidR="00CA30CF">
        <w:t xml:space="preserve"> arrows need to be defined. It is envisaged that these </w:t>
      </w:r>
      <w:r w:rsidR="00E177BD">
        <w:t>interact via the putative knowledge exchange mechanism rather than becoming directly embedded within the innovation platform but that remains an initial assumption that needs</w:t>
      </w:r>
      <w:r w:rsidR="00BD1B31">
        <w:t xml:space="preserve"> further exploration (could SWAT modeling be used within </w:t>
      </w:r>
      <w:proofErr w:type="spellStart"/>
      <w:r w:rsidR="00BD1B31">
        <w:t>Wat</w:t>
      </w:r>
      <w:proofErr w:type="spellEnd"/>
      <w:r w:rsidR="00BD1B31">
        <w:t>-a-game?)</w:t>
      </w:r>
      <w:r w:rsidR="00E177BD">
        <w:t>.</w:t>
      </w:r>
      <w:r w:rsidR="00BD1B31">
        <w:t xml:space="preserve"> Similarly the tools </w:t>
      </w:r>
      <w:proofErr w:type="gramStart"/>
      <w:r w:rsidR="00BD1B31">
        <w:t>with ?</w:t>
      </w:r>
      <w:proofErr w:type="gramEnd"/>
      <w:r w:rsidR="00BD1B31">
        <w:t xml:space="preserve"> </w:t>
      </w:r>
      <w:proofErr w:type="gramStart"/>
      <w:r w:rsidR="00BD1B31">
        <w:t>require</w:t>
      </w:r>
      <w:proofErr w:type="gramEnd"/>
      <w:r w:rsidR="00BD1B31">
        <w:t xml:space="preserve"> validation in terms of the utility within the suggested space.</w:t>
      </w:r>
    </w:p>
    <w:p w14:paraId="680C3821" w14:textId="77777777" w:rsidR="00E177BD" w:rsidRDefault="00E177BD" w:rsidP="004A0D8B">
      <w:pPr>
        <w:pStyle w:val="ListParagraph"/>
        <w:numPr>
          <w:ilvl w:val="0"/>
          <w:numId w:val="1"/>
        </w:numPr>
      </w:pPr>
      <w:r>
        <w:t xml:space="preserve">The existence of different types of farm households, facing different constraints and opportunities and hence requiring different innovation options (signified in the diagram by smaller circles within each </w:t>
      </w:r>
      <w:proofErr w:type="spellStart"/>
      <w:r>
        <w:t>kebele</w:t>
      </w:r>
      <w:proofErr w:type="spellEnd"/>
      <w:r>
        <w:t>).</w:t>
      </w:r>
    </w:p>
    <w:p w14:paraId="37D236DC" w14:textId="77777777" w:rsidR="00E177BD" w:rsidRDefault="00E177BD" w:rsidP="004A0D8B">
      <w:pPr>
        <w:pStyle w:val="ListParagraph"/>
        <w:numPr>
          <w:ilvl w:val="0"/>
          <w:numId w:val="1"/>
        </w:numPr>
      </w:pPr>
      <w:r>
        <w:t xml:space="preserve">There was discussion about the effectiveness of information flow from farmers to and from the innovation platform and the extent to which </w:t>
      </w:r>
      <w:r w:rsidR="00BD1B31">
        <w:t xml:space="preserve">these flows were representative of, or reached (depending on direction) farmers. </w:t>
      </w:r>
    </w:p>
    <w:p w14:paraId="168F6CD7" w14:textId="06EDC02C" w:rsidR="00BD1B31" w:rsidRDefault="00BD1B31" w:rsidP="004A0D8B">
      <w:pPr>
        <w:pStyle w:val="ListParagraph"/>
        <w:numPr>
          <w:ilvl w:val="0"/>
          <w:numId w:val="1"/>
        </w:numPr>
      </w:pPr>
      <w:r>
        <w:t xml:space="preserve">Hierarchically it was recognized that there was a potential disjunction between local and national innovation platforms with a </w:t>
      </w:r>
      <w:r w:rsidR="009512A7">
        <w:t>missi</w:t>
      </w:r>
      <w:r>
        <w:t>ng regional or basin and sub-basin level – perhaps another diagram illustrating this is required.</w:t>
      </w:r>
    </w:p>
    <w:p w14:paraId="53CF90FB" w14:textId="4952AD5B" w:rsidR="009512A7" w:rsidRDefault="009512A7" w:rsidP="004A0D8B">
      <w:pPr>
        <w:pStyle w:val="ListParagraph"/>
        <w:numPr>
          <w:ilvl w:val="0"/>
          <w:numId w:val="1"/>
        </w:numPr>
      </w:pPr>
      <w:r>
        <w:t>This framework could be used to develop full specification of the roles of the various tools and processes – identification of gaps and an evaluation scheme for the utility of individual elements and the whole.</w:t>
      </w:r>
    </w:p>
    <w:p w14:paraId="51786E18" w14:textId="77777777" w:rsidR="00D112DE" w:rsidRDefault="00D112DE" w:rsidP="004A0D8B">
      <w:pPr>
        <w:pStyle w:val="ListParagraph"/>
        <w:numPr>
          <w:ilvl w:val="0"/>
          <w:numId w:val="1"/>
        </w:numPr>
      </w:pPr>
      <w:r>
        <w:t xml:space="preserve">It would perhaps be interesting to also explore how different the content </w:t>
      </w:r>
      <w:proofErr w:type="gramStart"/>
      <w:r>
        <w:t xml:space="preserve">of  </w:t>
      </w:r>
      <w:proofErr w:type="spellStart"/>
      <w:r>
        <w:t>Fr</w:t>
      </w:r>
      <w:proofErr w:type="gramEnd"/>
      <w:r>
        <w:t>&amp;k</w:t>
      </w:r>
      <w:proofErr w:type="spellEnd"/>
      <w:r>
        <w:t xml:space="preserve"> and Io flows are amongst </w:t>
      </w:r>
      <w:proofErr w:type="spellStart"/>
      <w:r>
        <w:t>kebeles</w:t>
      </w:r>
      <w:proofErr w:type="spellEnd"/>
      <w:r>
        <w:t xml:space="preserve"> within innovation platforms and amongst platforms.</w:t>
      </w:r>
    </w:p>
    <w:p w14:paraId="328F6E9C" w14:textId="77777777" w:rsidR="00D112DE" w:rsidRDefault="00D112DE" w:rsidP="004A0D8B">
      <w:pPr>
        <w:pStyle w:val="ListParagraph"/>
        <w:numPr>
          <w:ilvl w:val="0"/>
          <w:numId w:val="1"/>
        </w:numPr>
      </w:pPr>
      <w:r>
        <w:t>Having developed this first pass at a diagram it is immediately apparent that is would benefit from a Robert Chambers – that is, to turn it the other way up so that the research, that be at the bottom, supports the farmer innovation at the top. I won’t attempt that now as I don’t have time but it might be more appropriate should we decide to take this further.</w:t>
      </w:r>
    </w:p>
    <w:p w14:paraId="75C95F1C" w14:textId="0A3102E0" w:rsidR="009512A7" w:rsidRDefault="00D112DE" w:rsidP="004A0D8B">
      <w:pPr>
        <w:pStyle w:val="ListParagraph"/>
        <w:numPr>
          <w:ilvl w:val="0"/>
          <w:numId w:val="1"/>
        </w:numPr>
      </w:pPr>
      <w:r>
        <w:t xml:space="preserve">I hope this is a useful start – there are tons of things I am not very aware of within NBDC which means no doubt this needs a lot of augmentation and modification – but is it a useful start?   </w:t>
      </w:r>
    </w:p>
    <w:p w14:paraId="174F428F" w14:textId="77777777" w:rsidR="00BD1B31" w:rsidRDefault="00BD1B31" w:rsidP="00BD1B31">
      <w:pPr>
        <w:ind w:left="360"/>
      </w:pPr>
    </w:p>
    <w:p w14:paraId="56B9223E" w14:textId="77777777" w:rsidR="009E1835" w:rsidRDefault="009E1835"/>
    <w:p w14:paraId="17638A81" w14:textId="77777777" w:rsidR="009E1835" w:rsidRDefault="009E1835"/>
    <w:sectPr w:rsidR="009E1835" w:rsidSect="00183C7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E0AEF"/>
    <w:multiLevelType w:val="hybridMultilevel"/>
    <w:tmpl w:val="EA4AA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835"/>
    <w:rsid w:val="00183C78"/>
    <w:rsid w:val="002E5C47"/>
    <w:rsid w:val="00320AB8"/>
    <w:rsid w:val="00452238"/>
    <w:rsid w:val="004A0D8B"/>
    <w:rsid w:val="00666386"/>
    <w:rsid w:val="009512A7"/>
    <w:rsid w:val="009E1835"/>
    <w:rsid w:val="00AA4408"/>
    <w:rsid w:val="00BD1B31"/>
    <w:rsid w:val="00CA30CF"/>
    <w:rsid w:val="00D112DE"/>
    <w:rsid w:val="00E1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4E2D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8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3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A0D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8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3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A0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fergus2 sinclair</dc:creator>
  <cp:lastModifiedBy>LeBorgne, Ewen (ILRI)</cp:lastModifiedBy>
  <cp:revision>2</cp:revision>
  <dcterms:created xsi:type="dcterms:W3CDTF">2012-12-06T08:10:00Z</dcterms:created>
  <dcterms:modified xsi:type="dcterms:W3CDTF">2012-12-06T08:10:00Z</dcterms:modified>
</cp:coreProperties>
</file>